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4C05" w14:textId="77777777" w:rsidR="00DF09BB" w:rsidRDefault="00DF09BB">
      <w:bookmarkStart w:id="0" w:name="_GoBack"/>
      <w:bookmarkEnd w:id="0"/>
    </w:p>
    <w:p w14:paraId="6CAAF8C6" w14:textId="77777777" w:rsidR="0010410B" w:rsidRDefault="001041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8EC8" wp14:editId="5D2EC524">
                <wp:simplePos x="0" y="0"/>
                <wp:positionH relativeFrom="column">
                  <wp:posOffset>1581150</wp:posOffset>
                </wp:positionH>
                <wp:positionV relativeFrom="paragraph">
                  <wp:posOffset>485775</wp:posOffset>
                </wp:positionV>
                <wp:extent cx="4143375" cy="666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6394" w14:textId="77777777" w:rsidR="0010410B" w:rsidRPr="00C56680" w:rsidRDefault="00EF1060" w:rsidP="001041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467F"/>
                                <w:sz w:val="36"/>
                                <w:szCs w:val="32"/>
                              </w:rPr>
                            </w:pPr>
                            <w:r w:rsidRPr="00C56680">
                              <w:rPr>
                                <w:rFonts w:ascii="Century Gothic" w:hAnsi="Century Gothic"/>
                                <w:b/>
                                <w:color w:val="00467F"/>
                                <w:sz w:val="36"/>
                                <w:szCs w:val="32"/>
                              </w:rPr>
                              <w:t>Guidance</w:t>
                            </w:r>
                            <w:r w:rsidR="0010410B" w:rsidRPr="00C56680">
                              <w:rPr>
                                <w:rFonts w:ascii="Century Gothic" w:hAnsi="Century Gothic"/>
                                <w:b/>
                                <w:color w:val="00467F"/>
                                <w:sz w:val="36"/>
                                <w:szCs w:val="32"/>
                              </w:rPr>
                              <w:t xml:space="preserve"> for Conducting Virtual Review Team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8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38.25pt;width:32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" fillcolor="white [3201]" stroked="f" strokeweight=".5pt">
                <v:textbox>
                  <w:txbxContent>
                    <w:p w14:paraId="35BC6394" w14:textId="77777777" w:rsidR="0010410B" w:rsidRPr="00C56680" w:rsidRDefault="00EF1060" w:rsidP="0010410B">
                      <w:pPr>
                        <w:jc w:val="center"/>
                        <w:rPr>
                          <w:rFonts w:ascii="Century Gothic" w:hAnsi="Century Gothic"/>
                          <w:b/>
                          <w:color w:val="00467F"/>
                          <w:sz w:val="36"/>
                          <w:szCs w:val="32"/>
                        </w:rPr>
                      </w:pPr>
                      <w:r w:rsidRPr="00C56680">
                        <w:rPr>
                          <w:rFonts w:ascii="Century Gothic" w:hAnsi="Century Gothic"/>
                          <w:b/>
                          <w:color w:val="00467F"/>
                          <w:sz w:val="36"/>
                          <w:szCs w:val="32"/>
                        </w:rPr>
                        <w:t>Guidance</w:t>
                      </w:r>
                      <w:r w:rsidR="0010410B" w:rsidRPr="00C56680">
                        <w:rPr>
                          <w:rFonts w:ascii="Century Gothic" w:hAnsi="Century Gothic"/>
                          <w:b/>
                          <w:color w:val="00467F"/>
                          <w:sz w:val="36"/>
                          <w:szCs w:val="32"/>
                        </w:rPr>
                        <w:t xml:space="preserve"> for Conducting Virtual Review Team 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9BEC6" wp14:editId="7A28B414">
            <wp:extent cx="1033619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A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42" cy="12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6A269" w14:textId="77777777" w:rsidR="0010410B" w:rsidRDefault="0010410B"/>
    <w:p w14:paraId="5D61984B" w14:textId="283E0047" w:rsidR="0010410B" w:rsidRDefault="00B22AF8">
      <w:r>
        <w:t xml:space="preserve">Due to </w:t>
      </w:r>
      <w:r w:rsidR="00306724">
        <w:t>the continuing need to practice social distancing amid the COVID-19 pandemic,</w:t>
      </w:r>
      <w:r w:rsidR="00EF1060">
        <w:t xml:space="preserve"> </w:t>
      </w:r>
      <w:r>
        <w:t xml:space="preserve">teams may choose to conduct virtual review team meetings. Below </w:t>
      </w:r>
      <w:r w:rsidR="00D64848">
        <w:t>are recommendations</w:t>
      </w:r>
      <w:r>
        <w:t xml:space="preserve"> review team members </w:t>
      </w:r>
      <w:r w:rsidR="00EF1060">
        <w:t xml:space="preserve">should consider </w:t>
      </w:r>
      <w:r>
        <w:t>before, during, and after conducting a virtual review team meeting.</w:t>
      </w:r>
    </w:p>
    <w:p w14:paraId="041C62B8" w14:textId="77777777" w:rsidR="00B22AF8" w:rsidRPr="00C56680" w:rsidRDefault="00B22AF8">
      <w:pPr>
        <w:rPr>
          <w:rFonts w:ascii="Century Gothic" w:hAnsi="Century Gothic"/>
          <w:b/>
          <w:i/>
          <w:color w:val="5C8727"/>
          <w:sz w:val="28"/>
        </w:rPr>
      </w:pPr>
      <w:r w:rsidRPr="00C56680">
        <w:rPr>
          <w:rFonts w:ascii="Century Gothic" w:hAnsi="Century Gothic"/>
          <w:b/>
          <w:i/>
          <w:color w:val="5C8727"/>
          <w:sz w:val="28"/>
        </w:rPr>
        <w:t>Before the meeting:</w:t>
      </w:r>
    </w:p>
    <w:p w14:paraId="5003EEC8" w14:textId="23678D6C" w:rsidR="00EF1060" w:rsidRDefault="00EF1060">
      <w:r>
        <w:t xml:space="preserve">Ensure all team members will have </w:t>
      </w:r>
      <w:r w:rsidR="00B22AF8">
        <w:t xml:space="preserve">access to stable </w:t>
      </w:r>
      <w:r w:rsidR="00DB228C">
        <w:t xml:space="preserve">Internet </w:t>
      </w:r>
      <w:r w:rsidR="00B22AF8">
        <w:t>service</w:t>
      </w:r>
    </w:p>
    <w:p w14:paraId="41EC4280" w14:textId="77777777" w:rsidR="00B22AF8" w:rsidRDefault="00B22AF8">
      <w:r>
        <w:t xml:space="preserve">Ensure the meeting is scheduled through a reliable teleconferencing </w:t>
      </w:r>
      <w:r w:rsidR="00251EE5">
        <w:t xml:space="preserve">or web </w:t>
      </w:r>
      <w:r>
        <w:t>conferencing platform</w:t>
      </w:r>
    </w:p>
    <w:p w14:paraId="1FC00C28" w14:textId="4EC5AF40" w:rsidR="00B22AF8" w:rsidRDefault="00B22AF8">
      <w:r>
        <w:t xml:space="preserve">Consider </w:t>
      </w:r>
      <w:r w:rsidR="00251EE5">
        <w:t xml:space="preserve">creating a password in addition to the access code for an added layer </w:t>
      </w:r>
      <w:r w:rsidR="00C56680">
        <w:t xml:space="preserve">of security </w:t>
      </w:r>
      <w:r w:rsidR="00251EE5">
        <w:t xml:space="preserve">protection </w:t>
      </w:r>
    </w:p>
    <w:p w14:paraId="259F2456" w14:textId="77777777" w:rsidR="00B22AF8" w:rsidRDefault="00B22AF8">
      <w:r>
        <w:t>Remind team members to move to a private, secluded area to participate</w:t>
      </w:r>
    </w:p>
    <w:p w14:paraId="6541CDDB" w14:textId="29C873A0" w:rsidR="00251EE5" w:rsidRDefault="00251EE5">
      <w:r>
        <w:t>Ensure team members can sign and return confidentiality forms via email, in the platform chat box, or verbally</w:t>
      </w:r>
      <w:r w:rsidR="00C56680">
        <w:t>, with the team coordinator documenting participants</w:t>
      </w:r>
    </w:p>
    <w:p w14:paraId="288349DD" w14:textId="2C8853A4" w:rsidR="00BD6CE1" w:rsidRDefault="00F669ED">
      <w:r>
        <w:t xml:space="preserve">Consider sending documents via </w:t>
      </w:r>
      <w:r w:rsidR="00BD6CE1">
        <w:t xml:space="preserve">encrypted email </w:t>
      </w:r>
      <w:r>
        <w:t>rather than maili</w:t>
      </w:r>
      <w:r w:rsidR="00B3165B">
        <w:t>ng to remote work locations</w:t>
      </w:r>
    </w:p>
    <w:p w14:paraId="4FB56E10" w14:textId="10E10AC3" w:rsidR="001B5506" w:rsidRDefault="001B5506">
      <w:r>
        <w:t xml:space="preserve">Practice launching the meeting with several team members to address any technology issues </w:t>
      </w:r>
      <w:r w:rsidR="00C56680">
        <w:t xml:space="preserve">related to </w:t>
      </w:r>
      <w:r>
        <w:t xml:space="preserve">verbal and visual communication, and test the screen sharing option </w:t>
      </w:r>
      <w:r w:rsidR="00C56680">
        <w:t xml:space="preserve">to ensure it is </w:t>
      </w:r>
      <w:r>
        <w:t>available and working if necessary</w:t>
      </w:r>
    </w:p>
    <w:p w14:paraId="7E4C404A" w14:textId="77777777" w:rsidR="00251EE5" w:rsidRPr="00C56680" w:rsidRDefault="00251EE5">
      <w:pPr>
        <w:rPr>
          <w:rFonts w:ascii="Century Gothic" w:hAnsi="Century Gothic"/>
          <w:b/>
          <w:i/>
          <w:color w:val="5C8727"/>
          <w:sz w:val="28"/>
          <w:szCs w:val="28"/>
        </w:rPr>
      </w:pPr>
      <w:r w:rsidRPr="00C56680">
        <w:rPr>
          <w:rFonts w:ascii="Century Gothic" w:hAnsi="Century Gothic"/>
          <w:b/>
          <w:i/>
          <w:color w:val="5C8727"/>
          <w:sz w:val="28"/>
          <w:szCs w:val="28"/>
        </w:rPr>
        <w:t>During the meeting:</w:t>
      </w:r>
    </w:p>
    <w:p w14:paraId="4E4B46FA" w14:textId="0E412A19" w:rsidR="00251EE5" w:rsidRDefault="00251EE5">
      <w:r>
        <w:t>Confirm team members are in a private and secluded area. Close windows and doors. If members are working from home or in another remote location, ensure that children and/or other</w:t>
      </w:r>
      <w:r w:rsidR="001B5506">
        <w:t>s are far enough away f</w:t>
      </w:r>
      <w:r w:rsidR="00C56680">
        <w:t>rom</w:t>
      </w:r>
      <w:r w:rsidR="00CD5F5E">
        <w:t xml:space="preserve"> </w:t>
      </w:r>
      <w:r w:rsidR="001B5506">
        <w:t>the virtual meeting</w:t>
      </w:r>
    </w:p>
    <w:p w14:paraId="38EEB478" w14:textId="77777777" w:rsidR="001B5506" w:rsidRDefault="001B5506">
      <w:r>
        <w:t>Encourage team members to utilize the video option as a way to increase engagement and participation</w:t>
      </w:r>
    </w:p>
    <w:p w14:paraId="388E3CA8" w14:textId="42C1077F" w:rsidR="001B5506" w:rsidRDefault="001B5506">
      <w:r>
        <w:t xml:space="preserve">Assign one team member </w:t>
      </w:r>
      <w:r w:rsidR="0031601B">
        <w:t>to monitor</w:t>
      </w:r>
      <w:r>
        <w:t xml:space="preserve"> the chat box</w:t>
      </w:r>
    </w:p>
    <w:p w14:paraId="43B9C36F" w14:textId="014EEC6C" w:rsidR="001B5506" w:rsidRDefault="001B5506">
      <w:r>
        <w:t>Consider utilizing the share screen option rather than mailing or emailing sensitive documents in order</w:t>
      </w:r>
      <w:r w:rsidR="003E407E">
        <w:t xml:space="preserve"> </w:t>
      </w:r>
      <w:r>
        <w:t xml:space="preserve">to discourage team members from printing sensitive </w:t>
      </w:r>
      <w:r w:rsidR="00985FC5">
        <w:t>materials</w:t>
      </w:r>
      <w:r>
        <w:t xml:space="preserve"> in remote work locations</w:t>
      </w:r>
    </w:p>
    <w:p w14:paraId="488B6153" w14:textId="6D9D5FF5" w:rsidR="00BD6CE1" w:rsidRDefault="00BD6CE1">
      <w:r>
        <w:t>Encourage team members to</w:t>
      </w:r>
      <w:r w:rsidR="00985FC5">
        <w:t xml:space="preserve"> avoid</w:t>
      </w:r>
      <w:r>
        <w:t xml:space="preserve"> record</w:t>
      </w:r>
      <w:r w:rsidR="00985FC5">
        <w:t>ing</w:t>
      </w:r>
      <w:r>
        <w:t xml:space="preserve"> hand written notes with identifiable case information</w:t>
      </w:r>
      <w:r w:rsidR="0031307A">
        <w:t xml:space="preserve">. If notes are taken, </w:t>
      </w:r>
      <w:r>
        <w:t xml:space="preserve">ensure </w:t>
      </w:r>
      <w:r w:rsidR="0031307A">
        <w:t>they</w:t>
      </w:r>
      <w:r>
        <w:t xml:space="preserve"> are discarded immediately after the meeting</w:t>
      </w:r>
    </w:p>
    <w:p w14:paraId="26218B7D" w14:textId="77777777" w:rsidR="00BD6CE1" w:rsidRDefault="00BD6CE1">
      <w:r>
        <w:t>Remind team members to mute themselves when not talking</w:t>
      </w:r>
    </w:p>
    <w:p w14:paraId="6FF1082F" w14:textId="77777777" w:rsidR="00BD6CE1" w:rsidRDefault="00BD6CE1">
      <w:r>
        <w:lastRenderedPageBreak/>
        <w:t>Call on team members to share case information to minimize members talking over one another</w:t>
      </w:r>
    </w:p>
    <w:p w14:paraId="0CD3E1BF" w14:textId="77777777" w:rsidR="00F313E9" w:rsidRDefault="00F313E9">
      <w:r>
        <w:t xml:space="preserve">Review discussion questions on page 29 of the </w:t>
      </w:r>
      <w:r w:rsidRPr="00CD5F5E">
        <w:rPr>
          <w:i/>
        </w:rPr>
        <w:t>Keeping Kids Alive in Wisconsin</w:t>
      </w:r>
      <w:r>
        <w:t xml:space="preserve"> guidebook.</w:t>
      </w:r>
    </w:p>
    <w:p w14:paraId="37881ACE" w14:textId="77777777" w:rsidR="00F313E9" w:rsidRDefault="00F313E9">
      <w:r>
        <w:t>Remind team members about the importance of creating and practicing a self-care routine.</w:t>
      </w:r>
    </w:p>
    <w:p w14:paraId="7B791012" w14:textId="77777777" w:rsidR="00F313E9" w:rsidRPr="00CD5F5E" w:rsidRDefault="005D4A2E">
      <w:pPr>
        <w:rPr>
          <w:rFonts w:ascii="Century Gothic" w:hAnsi="Century Gothic"/>
          <w:b/>
          <w:i/>
          <w:color w:val="5C8727"/>
          <w:sz w:val="28"/>
        </w:rPr>
      </w:pPr>
      <w:r w:rsidRPr="00CD5F5E">
        <w:rPr>
          <w:rFonts w:ascii="Century Gothic" w:hAnsi="Century Gothic"/>
          <w:b/>
          <w:i/>
          <w:color w:val="5C8727"/>
          <w:sz w:val="28"/>
        </w:rPr>
        <w:t>Self-care</w:t>
      </w:r>
    </w:p>
    <w:p w14:paraId="6E6A8E6D" w14:textId="7D584118" w:rsidR="00665892" w:rsidRDefault="00665892">
      <w:r>
        <w:t xml:space="preserve">Establishing a self-care routine after a virtual review team meeting </w:t>
      </w:r>
      <w:r w:rsidR="0031601B">
        <w:t>is</w:t>
      </w:r>
      <w:r>
        <w:t xml:space="preserve"> very important while team members are working remotely. Many team members may want to immediately transition back to regular work or home responsibilities</w:t>
      </w:r>
      <w:r w:rsidR="0031601B">
        <w:t>, but c</w:t>
      </w:r>
      <w:r>
        <w:t xml:space="preserve">reating an interruption </w:t>
      </w:r>
      <w:r w:rsidR="00CD5F5E">
        <w:t>after</w:t>
      </w:r>
      <w:r>
        <w:t xml:space="preserve"> </w:t>
      </w:r>
      <w:r w:rsidR="00CD5F5E">
        <w:t xml:space="preserve">the </w:t>
      </w:r>
      <w:r>
        <w:t>virtual review meeting will help to refocus and make a healthy transition to other tasks.</w:t>
      </w:r>
    </w:p>
    <w:p w14:paraId="08E6F099" w14:textId="27A1293E" w:rsidR="00F313E9" w:rsidRPr="00CD5F5E" w:rsidRDefault="00665892">
      <w:pPr>
        <w:rPr>
          <w:rFonts w:ascii="Century Gothic" w:hAnsi="Century Gothic"/>
          <w:b/>
          <w:color w:val="00467F"/>
        </w:rPr>
      </w:pPr>
      <w:r w:rsidRPr="00CD5F5E">
        <w:rPr>
          <w:rFonts w:ascii="Century Gothic" w:hAnsi="Century Gothic"/>
          <w:b/>
          <w:color w:val="00467F"/>
        </w:rPr>
        <w:t xml:space="preserve">Consider doing the following immediately </w:t>
      </w:r>
      <w:r w:rsidR="00985FC5" w:rsidRPr="00CD5F5E">
        <w:rPr>
          <w:rFonts w:ascii="Century Gothic" w:hAnsi="Century Gothic"/>
          <w:b/>
          <w:color w:val="00467F"/>
        </w:rPr>
        <w:t>after</w:t>
      </w:r>
      <w:r w:rsidRPr="00CD5F5E">
        <w:rPr>
          <w:rFonts w:ascii="Century Gothic" w:hAnsi="Century Gothic"/>
          <w:b/>
          <w:color w:val="00467F"/>
        </w:rPr>
        <w:t xml:space="preserve"> the virtual review team meeting:</w:t>
      </w:r>
    </w:p>
    <w:p w14:paraId="1EA8E0F2" w14:textId="77777777" w:rsidR="00665892" w:rsidRDefault="00665892">
      <w:r>
        <w:t>Take a 10-minute walk or stretch break</w:t>
      </w:r>
    </w:p>
    <w:p w14:paraId="4FCA62B4" w14:textId="77777777" w:rsidR="00665892" w:rsidRDefault="00665892">
      <w:r>
        <w:t>Schedule a lunch break</w:t>
      </w:r>
    </w:p>
    <w:p w14:paraId="128C6824" w14:textId="49A50C0F" w:rsidR="00DC2AB1" w:rsidRDefault="00665892">
      <w:r>
        <w:t xml:space="preserve">Converse with remote co-workers (spouses, children, </w:t>
      </w:r>
      <w:r w:rsidR="00D64848">
        <w:t>and pets</w:t>
      </w:r>
      <w:r>
        <w:t>) about their day so far</w:t>
      </w:r>
    </w:p>
    <w:p w14:paraId="115C73E2" w14:textId="77777777" w:rsidR="005D4A2E" w:rsidRPr="00CD5F5E" w:rsidRDefault="005D4A2E">
      <w:pPr>
        <w:rPr>
          <w:rFonts w:ascii="Century Gothic" w:hAnsi="Century Gothic"/>
          <w:b/>
          <w:color w:val="00467F"/>
          <w:sz w:val="28"/>
          <w:szCs w:val="28"/>
        </w:rPr>
      </w:pPr>
      <w:r w:rsidRPr="00CD5F5E">
        <w:rPr>
          <w:rFonts w:ascii="Century Gothic" w:hAnsi="Century Gothic"/>
          <w:b/>
          <w:color w:val="00467F"/>
          <w:sz w:val="28"/>
          <w:szCs w:val="28"/>
        </w:rPr>
        <w:t>Resources:</w:t>
      </w:r>
    </w:p>
    <w:p w14:paraId="22D65F2C" w14:textId="0AE6E59B" w:rsidR="00BD6CE1" w:rsidRPr="00CD5F5E" w:rsidRDefault="005F4DB6">
      <w:pPr>
        <w:rPr>
          <w:b/>
          <w:color w:val="5C8727"/>
        </w:rPr>
      </w:pPr>
      <w:hyperlink r:id="rId8" w:history="1">
        <w:r w:rsidR="008F471A" w:rsidRPr="00CD5F5E">
          <w:rPr>
            <w:rStyle w:val="Hyperlink"/>
            <w:color w:val="5C8727"/>
          </w:rPr>
          <w:t>Guide to self-care</w:t>
        </w:r>
      </w:hyperlink>
    </w:p>
    <w:p w14:paraId="51343FCF" w14:textId="1FD48A50" w:rsidR="00A70C40" w:rsidRDefault="00A70C40">
      <w:r>
        <w:t xml:space="preserve">Self-care is an opportunity to make a better you. Take time for yourself when you experience stressful or traumatic events. </w:t>
      </w:r>
    </w:p>
    <w:p w14:paraId="150DEC0F" w14:textId="7609A7C9" w:rsidR="008F471A" w:rsidRPr="00CD5F5E" w:rsidRDefault="005F4DB6">
      <w:pPr>
        <w:rPr>
          <w:b/>
          <w:color w:val="5C8727"/>
        </w:rPr>
      </w:pPr>
      <w:hyperlink r:id="rId9" w:history="1">
        <w:r w:rsidR="008F471A" w:rsidRPr="00CD5F5E">
          <w:rPr>
            <w:rStyle w:val="Hyperlink"/>
            <w:color w:val="5C8727"/>
          </w:rPr>
          <w:t>25 self-care ideas</w:t>
        </w:r>
      </w:hyperlink>
    </w:p>
    <w:p w14:paraId="37CAE51F" w14:textId="7DC4B53B" w:rsidR="00A70C40" w:rsidRDefault="00A70C40">
      <w:r>
        <w:t>Find simple ways to incorporate self-care into your daily life.</w:t>
      </w:r>
    </w:p>
    <w:p w14:paraId="5225C374" w14:textId="1F537CA6" w:rsidR="008F471A" w:rsidRPr="00CD5F5E" w:rsidRDefault="005F4DB6">
      <w:pPr>
        <w:rPr>
          <w:b/>
          <w:color w:val="5C8727"/>
        </w:rPr>
      </w:pPr>
      <w:hyperlink r:id="rId10" w:history="1">
        <w:r w:rsidR="008F471A" w:rsidRPr="00CD5F5E">
          <w:rPr>
            <w:rStyle w:val="Hyperlink"/>
            <w:color w:val="5C8727"/>
          </w:rPr>
          <w:t>Self-care BINGO</w:t>
        </w:r>
      </w:hyperlink>
    </w:p>
    <w:p w14:paraId="7E698E38" w14:textId="3CCF3D21" w:rsidR="00A70C40" w:rsidRDefault="00A70C40">
      <w:r>
        <w:t>Use this group activity as an icebreaker or meeting starter to encourage participants to think about their self-care.</w:t>
      </w:r>
    </w:p>
    <w:p w14:paraId="3281E8DD" w14:textId="0D1FF125" w:rsidR="00A70C40" w:rsidRPr="00CD5F5E" w:rsidRDefault="005F4DB6">
      <w:pPr>
        <w:rPr>
          <w:b/>
          <w:color w:val="5C8727"/>
        </w:rPr>
      </w:pPr>
      <w:hyperlink r:id="rId11" w:history="1">
        <w:r w:rsidR="00800ADC" w:rsidRPr="00CD5F5E">
          <w:rPr>
            <w:rStyle w:val="Hyperlink"/>
            <w:color w:val="5C8727"/>
          </w:rPr>
          <w:t>Self-Care Wheel</w:t>
        </w:r>
      </w:hyperlink>
    </w:p>
    <w:p w14:paraId="460F26F2" w14:textId="69A0F5CB" w:rsidR="00800ADC" w:rsidRDefault="00800ADC">
      <w:r>
        <w:t>The Self-Care Wheel illustrates six aspects of life balance. Use the ideas in each segment to improve your self-care.</w:t>
      </w:r>
    </w:p>
    <w:p w14:paraId="52C033FF" w14:textId="77777777" w:rsidR="001B5506" w:rsidRDefault="001B5506"/>
    <w:p w14:paraId="3297A5CA" w14:textId="7A73BF72" w:rsidR="001B5506" w:rsidRDefault="000A0A59">
      <w:r>
        <w:t>Please</w:t>
      </w:r>
      <w:r w:rsidR="00CD5F5E">
        <w:t xml:space="preserve"> contact your Children’s Health Alliance of Wisconsin staff for additional assistance:</w:t>
      </w:r>
    </w:p>
    <w:p w14:paraId="7183696B" w14:textId="37A9900E" w:rsidR="00CD5F5E" w:rsidRDefault="00CD5F5E">
      <w:r>
        <w:t xml:space="preserve">Karen Nash: </w:t>
      </w:r>
      <w:hyperlink r:id="rId12" w:history="1">
        <w:r w:rsidRPr="00855EA5">
          <w:rPr>
            <w:rStyle w:val="Hyperlink"/>
          </w:rPr>
          <w:t>KNash@chw.org</w:t>
        </w:r>
      </w:hyperlink>
    </w:p>
    <w:p w14:paraId="7F48A5BF" w14:textId="3937E73C" w:rsidR="001B66EE" w:rsidRDefault="001B66EE">
      <w:r>
        <w:t>Marilyn Noll</w:t>
      </w:r>
      <w:r w:rsidR="00CD5F5E">
        <w:t xml:space="preserve">: </w:t>
      </w:r>
      <w:hyperlink r:id="rId13" w:history="1">
        <w:r w:rsidRPr="00D44ACC">
          <w:rPr>
            <w:rStyle w:val="Hyperlink"/>
          </w:rPr>
          <w:t>MNoll@chw.org</w:t>
        </w:r>
      </w:hyperlink>
    </w:p>
    <w:p w14:paraId="77305F77" w14:textId="30AEAA49" w:rsidR="00CD5F5E" w:rsidRDefault="005F4DB6">
      <w:hyperlink r:id="rId14" w:history="1"/>
      <w:r w:rsidR="00CD5F5E">
        <w:t xml:space="preserve">Joanna O’Donnell: </w:t>
      </w:r>
      <w:hyperlink r:id="rId15" w:history="1">
        <w:r w:rsidR="00CD5F5E" w:rsidRPr="00855EA5">
          <w:rPr>
            <w:rStyle w:val="Hyperlink"/>
          </w:rPr>
          <w:t>JOdonnell@chw.org</w:t>
        </w:r>
      </w:hyperlink>
    </w:p>
    <w:p w14:paraId="7EBFFC4A" w14:textId="5BA0CAB0" w:rsidR="00B22AF8" w:rsidRDefault="00CD5F5E">
      <w:r>
        <w:t xml:space="preserve">Natasha Tynczuk: </w:t>
      </w:r>
      <w:hyperlink r:id="rId16" w:history="1">
        <w:r w:rsidR="00E13F3D" w:rsidRPr="00221B22">
          <w:rPr>
            <w:rStyle w:val="Hyperlink"/>
          </w:rPr>
          <w:t>NTynczuk@chw.org</w:t>
        </w:r>
      </w:hyperlink>
    </w:p>
    <w:sectPr w:rsidR="00B2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0059" w14:textId="77777777" w:rsidR="00011E99" w:rsidRDefault="00011E99" w:rsidP="00EF1060">
      <w:pPr>
        <w:spacing w:after="0" w:line="240" w:lineRule="auto"/>
      </w:pPr>
      <w:r>
        <w:separator/>
      </w:r>
    </w:p>
  </w:endnote>
  <w:endnote w:type="continuationSeparator" w:id="0">
    <w:p w14:paraId="24D46071" w14:textId="77777777" w:rsidR="00011E99" w:rsidRDefault="00011E99" w:rsidP="00EF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FD08" w14:textId="77777777" w:rsidR="00011E99" w:rsidRDefault="00011E99" w:rsidP="00EF1060">
      <w:pPr>
        <w:spacing w:after="0" w:line="240" w:lineRule="auto"/>
      </w:pPr>
      <w:r>
        <w:separator/>
      </w:r>
    </w:p>
  </w:footnote>
  <w:footnote w:type="continuationSeparator" w:id="0">
    <w:p w14:paraId="23BF87D8" w14:textId="77777777" w:rsidR="00011E99" w:rsidRDefault="00011E99" w:rsidP="00EF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4DEFCB"/>
    <w:multiLevelType w:val="hybridMultilevel"/>
    <w:tmpl w:val="C1BFDD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B"/>
    <w:rsid w:val="00011E99"/>
    <w:rsid w:val="0005161C"/>
    <w:rsid w:val="000A0A59"/>
    <w:rsid w:val="000C330C"/>
    <w:rsid w:val="000D5914"/>
    <w:rsid w:val="0010410B"/>
    <w:rsid w:val="001B5506"/>
    <w:rsid w:val="001B66EE"/>
    <w:rsid w:val="00251EE5"/>
    <w:rsid w:val="00306724"/>
    <w:rsid w:val="0031307A"/>
    <w:rsid w:val="0031601B"/>
    <w:rsid w:val="003244D1"/>
    <w:rsid w:val="003E407E"/>
    <w:rsid w:val="00502084"/>
    <w:rsid w:val="005D4A2E"/>
    <w:rsid w:val="005F4DB6"/>
    <w:rsid w:val="00665892"/>
    <w:rsid w:val="006D5F03"/>
    <w:rsid w:val="00800ADC"/>
    <w:rsid w:val="008C324E"/>
    <w:rsid w:val="008F471A"/>
    <w:rsid w:val="00985FC5"/>
    <w:rsid w:val="00A70C40"/>
    <w:rsid w:val="00B22AF8"/>
    <w:rsid w:val="00B3165B"/>
    <w:rsid w:val="00BD6CE1"/>
    <w:rsid w:val="00C56680"/>
    <w:rsid w:val="00CD5F5E"/>
    <w:rsid w:val="00D64848"/>
    <w:rsid w:val="00DB228C"/>
    <w:rsid w:val="00DC2AB1"/>
    <w:rsid w:val="00DF09BB"/>
    <w:rsid w:val="00E13F3D"/>
    <w:rsid w:val="00EF1060"/>
    <w:rsid w:val="00F313E9"/>
    <w:rsid w:val="00F669ED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68ED"/>
  <w15:chartTrackingRefBased/>
  <w15:docId w15:val="{6F3B6028-7787-41A4-B978-B411A1F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60"/>
  </w:style>
  <w:style w:type="paragraph" w:styleId="Footer">
    <w:name w:val="footer"/>
    <w:basedOn w:val="Normal"/>
    <w:link w:val="FooterChar"/>
    <w:uiPriority w:val="99"/>
    <w:unhideWhenUsed/>
    <w:rsid w:val="00EF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60"/>
  </w:style>
  <w:style w:type="paragraph" w:customStyle="1" w:styleId="Default">
    <w:name w:val="Default"/>
    <w:rsid w:val="00BD6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wisconsin.org/download/a-better-you-self-care-guide/?wpdmdl=2370&amp;ind=1548781436591" TargetMode="External"/><Relationship Id="rId13" Type="http://schemas.openxmlformats.org/officeDocument/2006/relationships/hyperlink" Target="mailto:MNoll@chw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Nash@chw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Tynczuk@chw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wisconsin.org/download/self-care-wheel/?wpdmdl=2388&amp;ind=154878232813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donnell@chw.org" TargetMode="External"/><Relationship Id="rId10" Type="http://schemas.openxmlformats.org/officeDocument/2006/relationships/hyperlink" Target="https://www.chawisconsin.org/download/self-care-bingo/?wpdmdl=2382&amp;ind=1548782207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wisconsin.org/download/self-care-ideas-for-individuals/?wpdmdl=2376&amp;ind=1548781635601" TargetMode="External"/><Relationship Id="rId14" Type="http://schemas.openxmlformats.org/officeDocument/2006/relationships/hyperlink" Target="mailto:ABagin@ch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Karen</dc:creator>
  <cp:keywords/>
  <dc:description/>
  <cp:lastModifiedBy>Waara, Sarah</cp:lastModifiedBy>
  <cp:revision>2</cp:revision>
  <dcterms:created xsi:type="dcterms:W3CDTF">2021-08-31T18:11:00Z</dcterms:created>
  <dcterms:modified xsi:type="dcterms:W3CDTF">2021-08-31T18:11:00Z</dcterms:modified>
</cp:coreProperties>
</file>